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26-267</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 655</w:t>
      </w:r>
    </w:p>
    <w:p>
      <w:pPr>
        <w:spacing w:before="0" w:after="0" w:line="480"/>
        <w:ind w:left="120"/>
        <w:jc w:val="center"/>
      </w:pPr>
      <w:r>
        <w:rPr>
          <w:rFonts w:ascii="Times New Roman" w:hAnsi="Times New Roman"/>
          <w:b w:val="false"/>
          <w:i w:val="false"/>
          <w:color w:val="000000"/>
          <w:sz w:val="24"/>
        </w:rPr>
        <w:t>“Standards of Practice and Principles of Medical Ethics”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147, 148 and 272C</w:t>
      </w:r>
    </w:p>
    <w:p>
      <w:pPr>
        <w:spacing w:before="0" w:after="0" w:line="480"/>
        <w:ind w:left="120"/>
        <w:jc w:val="both"/>
      </w:pPr>
      <w:r>
        <w:rPr>
          <w:rFonts w:ascii="Times New Roman" w:hAnsi="Times New Roman"/>
          <w:b w:val="false"/>
          <w:i w:val="false"/>
          <w:color w:val="000000"/>
          <w:sz w:val="24"/>
        </w:rPr>
        <w:t>State or federal law(s) implemented by the rulemaking: 2026 Iowa Acts, House File 2676, and Iowa Code chapter 148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069"/>
        <w:gridCol w:w="6195"/>
      </w:tblGrid>
      <w:tr>
        <w:trPr>
          <w:trHeight w:val="645" w:hRule="atLeast"/>
        </w:trPr>
        <w:tc>
          <w:tcPr>
            <w:tcW w:w="506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9:30 a.m.</w:t>
            </w:r>
          </w:p>
        </w:tc>
        <w:tc>
          <w:tcPr>
            <w:tcW w:w="61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Information on virtual participation will be available on the Department of Inspections, Appeals, and Licensing’s website prior to the hearing.</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Laura Berardi</w:t>
            </w:r>
            <w:r>
              <w:br/>
            </w:r>
            <w:r>
              <w:rPr>
                <w:rFonts w:ascii="Times New Roman" w:hAnsi="Times New Roman"/>
                <w:b w:val="false"/>
                <w:i w:val="false"/>
                <w:color w:val="000000"/>
                <w:sz w:val="14"/>
              </w:rPr>
              <w:t>Iowa Board of Medicine</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laura.berardi@dia.iowa.gov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These proposed amendments implement 2026 Iowa Acts, House File 2676, to update the phrase “epinephrine auto-injectors” to “epinephrine delivery systems.”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to the public to comply with this rulemaking. Staff salaries to support the work of the Board of Medicine (Board), including legislative implementation and rulemaking, are covered by the Licensing and Regulation Fund established in 2023 Iowa Acts, Senate File 557. Licensing fees go to the fund to cover the operations of the regulated professional licensing boards.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Users and prescribers of epinephrine delivery systems will benefit from having Iowa’s rules more accurately represent the product they are using and prescribing, respectively.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proposed rulemaking will benefit all users and prescribers of epinephrine delivery systems by having a more accurate representation of the product they are using and prescribing, respectively. This rulemaking implements changes required by 2026 Iowa Acts, House File 2676.</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will benefit all users and prescribers of epinephrine delivery systems by having a more accurate representation of the product they are using and prescribing, respectively. This rulemaking implements changes required by 2026 Iowa Acts, House File 2676.</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anticipated costs to implement or enforce the proposed amendments. Staff salaries to support the work of the Board, including legislative implementation and rulemaking, are covered by the fund. Licensing fees go to the fund to cover the operations of the regulated professional licensing boards.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Because there is no anticipated cost related to this rulemaking and there is the benefit of keeping rules updated with current terminology, the costs and benefits of rulemaking outweigh those of inaction, which would only serve to keep outdated language in the Department’s rules. This rulemaking implements 2026 Iowa Acts, House File 2676.</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is no alternative to updating the language in the rules. This rulemaking implements changes required by 2026 Iowa Acts, House File 2676.</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This rulemaking implements 2026 Iowa Acts, House File 2676, which requires the changing of terminology from “epinephrine auto-injectors” to “epinephrine delivery systems.”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This rulemaking implements 2026 Iowa Acts, House File 2676, which requires the changing of terminology from “epinephrine auto-injectors” to “epinephrine delivery systems.”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anticipated impact on small business. The proposed rulemaking implements 2026 Iowa Acts, House File 2676, and applies to all users and prescribers.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481—655.10(135,147,148,272C,280)</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481—655.10</w:t>
      </w:r>
      <w:r>
        <w:rPr>
          <w:rFonts w:ascii="Times New Roman" w:hAnsi="Times New Roman"/>
          <w:b/>
          <w:i w:val="false"/>
          <w:color w:val="000000"/>
          <w:sz w:val="24"/>
        </w:rPr>
        <w:t xml:space="preserve">(135,147,148,272C,280) </w:t>
      </w:r>
      <w:r>
        <w:rPr>
          <w:rFonts w:ascii="Times New Roman" w:hAnsi="Times New Roman"/>
          <w:b/>
          <w:i w:val="false"/>
          <w:color w:val="000000"/>
          <w:sz w:val="24"/>
        </w:rPr>
        <w:t xml:space="preserve">Standards of practice—prescribing epinephrine </w:t>
      </w:r>
      <w:r>
        <w:rPr>
          <w:rFonts w:ascii="Times New Roman" w:hAnsi="Times New Roman"/>
          <w:b/>
          <w:i w:val="false"/>
          <w:strike/>
          <w:color w:val="000000"/>
          <w:sz w:val="24"/>
        </w:rPr>
        <w:t>auto-injectors</w:t>
      </w:r>
      <w:r>
        <w:rPr>
          <w:rFonts w:ascii="Times New Roman" w:hAnsi="Times New Roman"/>
          <w:b/>
          <w:i w:val="false"/>
          <w:color w:val="000000"/>
          <w:sz w:val="24"/>
          <w:u w:val="single"/>
        </w:rPr>
        <w:t> </w:t>
      </w:r>
      <w:r>
        <w:rPr>
          <w:rFonts w:ascii="Times New Roman" w:hAnsi="Times New Roman"/>
          <w:b/>
          <w:i w:val="false"/>
          <w:color w:val="000000"/>
          <w:sz w:val="24"/>
          <w:u w:val="single"/>
        </w:rPr>
        <w:t>delivery systems</w:t>
      </w:r>
      <w:r>
        <w:rPr>
          <w:rFonts w:ascii="Times New Roman" w:hAnsi="Times New Roman"/>
          <w:b/>
          <w:i w:val="false"/>
          <w:color w:val="000000"/>
          <w:sz w:val="24"/>
        </w:rPr>
        <w:t xml:space="preserve">, bronchodilator canisters, bronchodilator canisters and spacers, or opioid antagonists in the name of an authorized facility.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655.10(1)</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655.10(2)</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any other provision of law to the contrary, a physician may prescribe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 canisters, bronchodilator canisters and spacers, or opioid antagonists in the name of an authorized facility to be maintained for use pursuant to Iowa Code sections </w:t>
      </w:r>
      <w:hyperlink r:id="rId5">
        <w:r>
          <w:rPr>
            <w:rStyle w:val="Hyperlink"/>
            <w:rFonts w:ascii="Times New Roman" w:hAnsi="Times New Roman"/>
            <w:b w:val="false"/>
            <w:i w:val="false"/>
            <w:color w:val="000000"/>
            <w:sz w:val="24"/>
          </w:rPr>
          <w:t>135.185</w:t>
        </w:r>
      </w:hyperlink>
      <w:r>
        <w:rPr>
          <w:rFonts w:ascii="Times New Roman" w:hAnsi="Times New Roman"/>
          <w:b w:val="false"/>
          <w:i w:val="false"/>
          <w:color w:val="000000"/>
          <w:sz w:val="24"/>
        </w:rPr>
        <w:t xml:space="preserve">, </w:t>
      </w:r>
      <w:hyperlink r:id="rId6">
        <w:r>
          <w:rPr>
            <w:rStyle w:val="Hyperlink"/>
            <w:rFonts w:ascii="Times New Roman" w:hAnsi="Times New Roman"/>
            <w:b w:val="false"/>
            <w:i w:val="false"/>
            <w:color w:val="000000"/>
            <w:sz w:val="24"/>
          </w:rPr>
          <w:t>135.190</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280.16</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280.16A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655.10(3)</w:t>
      </w:r>
      <w:r>
        <w:rPr>
          <w:rFonts w:ascii="Times New Roman" w:hAnsi="Times New Roman"/>
          <w:b w:val="false"/>
          <w:i w:val="false"/>
          <w:color w:val="000000"/>
          <w:sz w:val="24"/>
        </w:rPr>
        <w:t> </w:t>
      </w:r>
      <w:r>
        <w:rPr>
          <w:rFonts w:ascii="Times New Roman" w:hAnsi="Times New Roman"/>
          <w:b w:val="false"/>
          <w:i w:val="false"/>
          <w:color w:val="000000"/>
          <w:sz w:val="24"/>
        </w:rPr>
        <w:t xml:space="preserve">A physician who prescribes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 canisters, bronchodilator canisters and spacers, or opioid antagonists in the name of an authorized facility to be maintained for use pursuant to Iowa Code sections </w:t>
      </w:r>
      <w:hyperlink r:id="rId9">
        <w:r>
          <w:rPr>
            <w:rStyle w:val="Hyperlink"/>
            <w:rFonts w:ascii="Times New Roman" w:hAnsi="Times New Roman"/>
            <w:b w:val="false"/>
            <w:i w:val="false"/>
            <w:color w:val="000000"/>
            <w:sz w:val="24"/>
          </w:rPr>
          <w:t>135.185</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135.190</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280.16</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280.16A</w:t>
        </w:r>
      </w:hyperlink>
      <w:r>
        <w:rPr>
          <w:rFonts w:ascii="Times New Roman" w:hAnsi="Times New Roman"/>
          <w:b w:val="false"/>
          <w:i w:val="false"/>
          <w:color w:val="000000"/>
          <w:sz w:val="24"/>
        </w:rPr>
        <w:t xml:space="preserve">, provided the physician has acted reasonably and in good faith, is not liable for any injury arising from the provision, administration, or assistance in the administration of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bronchodilator canisters, bronchodilator canisters and spacers, or opioid antagonists.</w:t>
      </w:r>
    </w:p>
    <w:p>
      <w:pPr>
        <w:spacing w:before="0" w:after="0" w:line="240"/>
        <w:ind w:left="120"/>
        <w:jc w:val="both"/>
      </w:pP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aura.berardi@dia.iowa.gov" Type="http://schemas.openxmlformats.org/officeDocument/2006/relationships/hyperlink" Id="rId4"/>
    <Relationship TargetMode="External" Target="https://www.legis.iowa.gov/docs/ico/chapter/135.185.pdf" Type="http://schemas.openxmlformats.org/officeDocument/2006/relationships/hyperlink" Id="rId5"/>
    <Relationship TargetMode="External" Target="https://www.legis.iowa.gov/docs/ico/chapter/135.190.pdf" Type="http://schemas.openxmlformats.org/officeDocument/2006/relationships/hyperlink" Id="rId6"/>
    <Relationship TargetMode="External" Target="https://www.legis.iowa.gov/docs/ico/chapter/280.16.pdf" Type="http://schemas.openxmlformats.org/officeDocument/2006/relationships/hyperlink" Id="rId7"/>
    <Relationship TargetMode="External" Target="https://www.legis.iowa.gov/docs/ico/chapter/280.16A.pdf" Type="http://schemas.openxmlformats.org/officeDocument/2006/relationships/hyperlink" Id="rId8"/>
    <Relationship TargetMode="External" Target="https://www.legis.iowa.gov/docs/ico/chapter/135.185.pdf" Type="http://schemas.openxmlformats.org/officeDocument/2006/relationships/hyperlink" Id="rId9"/>
    <Relationship TargetMode="External" Target="https://www.legis.iowa.gov/docs/ico/chapter/135.190.pdf" Type="http://schemas.openxmlformats.org/officeDocument/2006/relationships/hyperlink" Id="rId10"/>
    <Relationship TargetMode="External" Target="https://www.legis.iowa.gov/docs/ico/chapter/280.16.pdf" Type="http://schemas.openxmlformats.org/officeDocument/2006/relationships/hyperlink" Id="rId11"/>
    <Relationship TargetMode="External" Target="https://www.legis.iowa.gov/docs/ico/chapter/280.16A.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